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83766">
      <w:pPr>
        <w:spacing w:after="0" w:line="276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hint="default" w:ascii="Times New Roman" w:hAnsi="Times New Roman" w:cs="Times New Roman"/>
          <w:bCs/>
          <w:sz w:val="24"/>
          <w:szCs w:val="24"/>
          <w:u w:val="none"/>
          <w:lang w:val="sr-Cyrl-RS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u w:val="none"/>
          <w:lang w:val="sr-Cyrl-CS"/>
        </w:rPr>
        <w:t>ПРИЛОГ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1</w:t>
      </w:r>
    </w:p>
    <w:p w14:paraId="1380FDD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ПРИЈАВА</w:t>
      </w:r>
    </w:p>
    <w:p w14:paraId="60B700FF">
      <w:pPr>
        <w:spacing w:after="0" w:line="276" w:lineRule="auto"/>
        <w:ind w:left="-220" w:leftChars="-100" w:firstLine="218" w:firstLineChars="78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4A1AD8E0">
      <w:bookmarkStart w:id="3" w:name="_GoBack"/>
      <w:bookmarkEnd w:id="3"/>
    </w:p>
    <w:p w14:paraId="3621E681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1.1.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ЛИЧНИ ПОДАЦИ ПОДНОСИОЦА ПРИЈАВЕ</w:t>
      </w:r>
      <w:r>
        <w:tab/>
      </w:r>
    </w:p>
    <w:p w14:paraId="21987719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3375"/>
        <w:gridCol w:w="6525"/>
      </w:tblGrid>
      <w:tr w14:paraId="4E498C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6B0564EA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C61FD8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05D66CE0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495BDC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F44B214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3CC06D6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533B4D58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62428F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3630E7B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A2F735A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ЈМБГ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49692879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0AADFE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BCD112E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518D12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541D7F6B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59249F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C6980D9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680E8DD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A722C92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7218CB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A4634A4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25E4B7F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Број телефона 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68331C3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3116F3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7721C2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FAFC5F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Адреса електронске поште - email (опционално)</w:t>
            </w: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54B3402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</w:tbl>
    <w:p w14:paraId="059635CD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 w14:paraId="798547FA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1.2. ПОДАЦИ О ПРЕДМЕТНОМ ОБЈЕКТУ</w:t>
      </w:r>
    </w:p>
    <w:p w14:paraId="67BC659F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3375"/>
        <w:gridCol w:w="5731"/>
        <w:gridCol w:w="740"/>
      </w:tblGrid>
      <w:tr w14:paraId="22135A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99790A7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602C1291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4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4F51FE69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1B38E9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B003373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1C281F2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64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3DFFD91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30F7D6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4525CA3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6B89994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4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02E89DB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5C555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5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5E4DC1E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7DD1070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Тип објекта (означи)</w:t>
            </w:r>
          </w:p>
        </w:tc>
        <w:tc>
          <w:tcPr>
            <w:tcW w:w="57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7B589FBD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Породична кућа</w:t>
            </w: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C729A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660FB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51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427660F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2727F87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62AC3D21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Двојна кућа или кућа у низу</w:t>
            </w: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346CC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  <w:tr w14:paraId="30CAC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51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3079791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54E3B5D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14:paraId="7D311ADD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Стан у стамбеној згради  </w:t>
            </w: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846A4">
            <w:pPr>
              <w:tabs>
                <w:tab w:val="right" w:pos="8789"/>
              </w:tabs>
              <w:spacing w:after="0" w:line="276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</w:tc>
      </w:tr>
    </w:tbl>
    <w:p w14:paraId="6E0357DB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 w14:paraId="5AAEAE32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2. МЕРЕ/ПАКЕТ МЕРА ЗА КОЈЕ СЕ ПРИЈАВЉУЈЕТЕ </w:t>
      </w:r>
    </w:p>
    <w:p w14:paraId="5327CDDC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2.1 МЕРЕ ЗА КОЈЕ СЕ ПРИЈАВЉУЈЕТЕ</w:t>
      </w:r>
    </w:p>
    <w:p w14:paraId="71EA991F">
      <w:pP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  <w:t>ПОРОДИЧНЕ КУЋЕ</w:t>
      </w:r>
    </w:p>
    <w:p w14:paraId="0C259479">
      <w:pPr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Крајњи корисник има право да се пријави за једну појединачну меру из тач. 1)-6), 8) и 9)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или  максимално две појединачне мере из тач. 1)-6)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.</w:t>
      </w:r>
    </w:p>
    <w:p w14:paraId="04E74959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bookmarkStart w:id="0" w:name="_Hlk145668329"/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Мере под тач. 7) и 10) се не убрајају у појединачне мере јер нису предвиђене за самосталну примену.</w:t>
      </w:r>
      <w:bookmarkEnd w:id="0"/>
    </w:p>
    <w:p w14:paraId="4A2724AC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Удео бесповратних средстава за примену појединачне мере/мера износи највише 50% од укупне вредности инвестиције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 xml:space="preserve">осим за израду техничке документације када износи највише 80%. </w:t>
      </w:r>
    </w:p>
    <w:p w14:paraId="3180EB90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 w14:paraId="0BA90C1D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Табела 1.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 xml:space="preserve"> Списак појединачних мера енергетске санације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sr-Cyrl-CS"/>
        </w:rPr>
        <w:t>ЗА ПОРОДИЧНЕ КУЋЕ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 (заокружити редни број изабране мере/мера)</w:t>
      </w:r>
    </w:p>
    <w:tbl>
      <w:tblPr>
        <w:tblStyle w:val="1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36"/>
      </w:tblGrid>
      <w:tr w14:paraId="1DA4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75596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7736" w:type="dxa"/>
          </w:tcPr>
          <w:p w14:paraId="0215E9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14:paraId="4034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54F9A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7736" w:type="dxa"/>
          </w:tcPr>
          <w:p w14:paraId="07D98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за </w:t>
            </w:r>
          </w:p>
        </w:tc>
      </w:tr>
      <w:tr w14:paraId="2944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3700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3)</w:t>
            </w:r>
          </w:p>
        </w:tc>
        <w:tc>
          <w:tcPr>
            <w:tcW w:w="7736" w:type="dxa"/>
          </w:tcPr>
          <w:p w14:paraId="6BA162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14:paraId="7C38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4A955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7736" w:type="dxa"/>
          </w:tcPr>
          <w:p w14:paraId="5D96C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природни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14:paraId="41BC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10D3BB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7736" w:type="dxa"/>
          </w:tcPr>
          <w:p w14:paraId="25C99745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14:paraId="6368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0B37F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7736" w:type="dxa"/>
          </w:tcPr>
          <w:p w14:paraId="7C08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14:paraId="1D28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075CF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7736" w:type="dxa"/>
          </w:tcPr>
          <w:p w14:paraId="137226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14:paraId="0872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754E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8)</w:t>
            </w:r>
          </w:p>
        </w:tc>
        <w:tc>
          <w:tcPr>
            <w:tcW w:w="7736" w:type="dxa"/>
          </w:tcPr>
          <w:p w14:paraId="4F40EA8B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14:paraId="1C16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2230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9)</w:t>
            </w:r>
          </w:p>
        </w:tc>
        <w:tc>
          <w:tcPr>
            <w:tcW w:w="7736" w:type="dxa"/>
          </w:tcPr>
          <w:p w14:paraId="05CCC7BA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</w:p>
        </w:tc>
      </w:tr>
      <w:tr w14:paraId="0203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57783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b/>
                <w:lang w:val="sr-Latn-CS"/>
              </w:rPr>
              <w:t>)*</w:t>
            </w:r>
            <w:r>
              <w:rPr>
                <w:rFonts w:ascii="Times New Roman" w:hAnsi="Times New Roman" w:cs="Times New Roman"/>
                <w:b/>
                <w:lang w:val="sr-Cyrl-CS"/>
              </w:rPr>
              <w:t>*</w:t>
            </w:r>
          </w:p>
        </w:tc>
        <w:tc>
          <w:tcPr>
            <w:tcW w:w="7736" w:type="dxa"/>
            <w:vAlign w:val="center"/>
          </w:tcPr>
          <w:p w14:paraId="392CAD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14:paraId="2512B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6FEC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557C854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14:paraId="060E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49B49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304299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14:paraId="4DF12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1A07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241ED57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14:paraId="6042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4EB7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7761067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14:paraId="11D4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10A95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4B62369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14:paraId="7B939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5E657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10AA97F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</w:tbl>
    <w:p w14:paraId="18218080">
      <w:pPr>
        <w:spacing w:after="0" w:line="276" w:lineRule="auto"/>
        <w:jc w:val="both"/>
        <w:rPr>
          <w:rFonts w:ascii="Times New Roman" w:hAnsi="Times New Roman" w:eastAsia="Times New Roman" w:cs="Times New Roman"/>
          <w:sz w:val="20"/>
          <w:szCs w:val="20"/>
          <w:lang w:val="sr-Cyrl-RS"/>
        </w:rPr>
      </w:pPr>
    </w:p>
    <w:p w14:paraId="3490813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*За  меру из тачке </w:t>
      </w:r>
      <w:r>
        <w:rPr>
          <w:rFonts w:ascii="Times New Roman" w:hAnsi="Times New Roman" w:eastAsia="Times New Roman" w:cs="Times New Roman"/>
          <w:sz w:val="20"/>
          <w:szCs w:val="20"/>
          <w:lang w:val="sr-Latn-CS"/>
        </w:rPr>
        <w:t>7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) се може конкурисати </w:t>
      </w:r>
      <w:r>
        <w:rPr>
          <w:rFonts w:ascii="Times New Roman" w:hAnsi="Times New Roman" w:eastAsia="Times New Roman" w:cs="Times New Roman"/>
          <w:bCs/>
          <w:sz w:val="20"/>
          <w:szCs w:val="20"/>
          <w:lang w:val="sr-Cyrl-RS"/>
        </w:rPr>
        <w:t>искључиво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заједно са неком од појединачних мера под тачком 4) или 5) или 6) или пакета који садржи наведене мере. Мера ће се суфинансирати са уделом до 50% бесповратних средстава ако се примењује са неком од наведених појединачних мера. </w:t>
      </w:r>
    </w:p>
    <w:p w14:paraId="26B8D9E4">
      <w:pPr>
        <w:spacing w:after="0" w:line="276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**За </w:t>
      </w:r>
      <w:r>
        <w:rPr>
          <w:rFonts w:ascii="Times New Roman" w:hAnsi="Times New Roman" w:eastAsia="Times New Roman" w:cs="Times New Roman"/>
          <w:sz w:val="20"/>
          <w:szCs w:val="20"/>
        </w:rPr>
        <w:t>меру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из тачке 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10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)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се може конкурисати само заједно са неком од појединачних мера под тач. 1)-6) или тачком 8) и у оквиру пакета мера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.</w:t>
      </w:r>
      <w:r>
        <w:rPr>
          <w:lang w:val="sr-Cyrl-C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Мера ће се суфинансирати са уделом до 80% бесповратних средстава ако се примењује са неком од наведених појединачних мера.</w:t>
      </w:r>
      <w: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Мера израде техничке документације може се састојати из више наведених делова а)-ђ) према важећој законској регулативи. </w:t>
      </w:r>
    </w:p>
    <w:p w14:paraId="7F6B10D3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</w:p>
    <w:p w14:paraId="4429F991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</w:p>
    <w:p w14:paraId="14091DC1">
      <w:pP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</w:pPr>
    </w:p>
    <w:p w14:paraId="3F1F5E05">
      <w:pP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</w:pPr>
    </w:p>
    <w:p w14:paraId="70FF665F">
      <w:pP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  <w:t>СТАНОВИ</w:t>
      </w:r>
    </w:p>
    <w:p w14:paraId="361F9873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Крајњи корисник који станују у стану има право да се пријави за максимално две појединачне мере из тач. 1), 4) и 6).Уз једну од мера под тач. 1), 4) или 6) за коју се пријави, крајњи корисник има право да се пријави додатно и за меру 10) која се односи на израду техничке документације.</w:t>
      </w:r>
    </w:p>
    <w:p w14:paraId="37A9AB89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Мере под тач. 7) и 10) се не убрајају у појединачне мере јер нису предвиђене за самосталну примену.</w:t>
      </w:r>
    </w:p>
    <w:p w14:paraId="6474FA42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Удео бесповратних средстава за примену појединачне мере/мера износи највише 50% од укупне вредности инвестиције, осим за израду техничке документације када износи највише 80%.</w:t>
      </w:r>
    </w:p>
    <w:p w14:paraId="1CD2ACF4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Табела 2.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 xml:space="preserve"> Списак појединачних мера енергетске санације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sr-Cyrl-CS"/>
        </w:rPr>
        <w:t>ЗА СТАНОВЕ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 (заокружити редни број изабране мере/мера)</w:t>
      </w:r>
    </w:p>
    <w:tbl>
      <w:tblPr>
        <w:tblStyle w:val="1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36"/>
      </w:tblGrid>
      <w:tr w14:paraId="0C1A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66D07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7736" w:type="dxa"/>
          </w:tcPr>
          <w:p w14:paraId="669563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14:paraId="47DB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43B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7736" w:type="dxa"/>
          </w:tcPr>
          <w:p w14:paraId="12F7C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природни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14:paraId="4D1B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5595A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7736" w:type="dxa"/>
          </w:tcPr>
          <w:p w14:paraId="70036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14:paraId="433C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F31E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7736" w:type="dxa"/>
          </w:tcPr>
          <w:p w14:paraId="78F753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14:paraId="11CE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5C8EC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b/>
                <w:lang w:val="sr-Latn-CS"/>
              </w:rPr>
              <w:t>)*</w:t>
            </w:r>
            <w:r>
              <w:rPr>
                <w:rFonts w:ascii="Times New Roman" w:hAnsi="Times New Roman" w:cs="Times New Roman"/>
                <w:b/>
                <w:lang w:val="sr-Cyrl-CS"/>
              </w:rPr>
              <w:t>*</w:t>
            </w:r>
          </w:p>
        </w:tc>
        <w:tc>
          <w:tcPr>
            <w:tcW w:w="7736" w:type="dxa"/>
            <w:vAlign w:val="center"/>
          </w:tcPr>
          <w:p w14:paraId="6C4E45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14:paraId="50C5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616A0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3CCE48A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14:paraId="6FA50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238A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0D90309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14:paraId="2167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1A13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7615123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14:paraId="6A96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3D78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6E3B0E0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14:paraId="1296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5C37DC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661D717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14:paraId="13B7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shd w:val="clear" w:color="auto" w:fill="E7E6E6" w:themeFill="background2"/>
            <w:vAlign w:val="center"/>
          </w:tcPr>
          <w:p w14:paraId="3D77E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14:paraId="3C2933D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</w:tbl>
    <w:p w14:paraId="0369289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*За  меру из тачке </w:t>
      </w:r>
      <w:r>
        <w:rPr>
          <w:rFonts w:ascii="Times New Roman" w:hAnsi="Times New Roman" w:eastAsia="Times New Roman" w:cs="Times New Roman"/>
          <w:sz w:val="20"/>
          <w:szCs w:val="20"/>
          <w:lang w:val="sr-Latn-CS"/>
        </w:rPr>
        <w:t>7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) се може конкурисати </w:t>
      </w:r>
      <w:r>
        <w:rPr>
          <w:rFonts w:ascii="Times New Roman" w:hAnsi="Times New Roman" w:eastAsia="Times New Roman" w:cs="Times New Roman"/>
          <w:bCs/>
          <w:sz w:val="20"/>
          <w:szCs w:val="20"/>
          <w:lang w:val="sr-Cyrl-RS"/>
        </w:rPr>
        <w:t>искључиво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заједно са неком од појединачних мера под тачком 4) или 6). Мера ће се суфинансирати са уделом до 50% бесповратних средстава ако се примењује са неком од наведених појединачних мера. </w:t>
      </w:r>
    </w:p>
    <w:p w14:paraId="7E10D536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**За </w:t>
      </w:r>
      <w:r>
        <w:rPr>
          <w:rFonts w:ascii="Times New Roman" w:hAnsi="Times New Roman" w:eastAsia="Times New Roman" w:cs="Times New Roman"/>
          <w:sz w:val="20"/>
          <w:szCs w:val="20"/>
        </w:rPr>
        <w:t>меру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из тачке 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10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)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се може конкурисати само заједно са неком од појединачних мера под тач. 1)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, 4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) и 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6</w:t>
      </w:r>
      <w:r>
        <w:rPr>
          <w:rFonts w:ascii="Times New Roman" w:hAnsi="Times New Roman" w:eastAsia="Times New Roman" w:cs="Times New Roman"/>
          <w:sz w:val="20"/>
          <w:szCs w:val="20"/>
        </w:rPr>
        <w:t>)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 xml:space="preserve">. </w:t>
      </w:r>
      <w:r>
        <w:rPr>
          <w:lang w:val="sr-Cyrl-C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Мера ће се суфинансирати са уделом до 80% бесповратних средстава ако се примењује са неком од наведених појединачних мера.</w:t>
      </w:r>
      <w:r>
        <w:rPr>
          <w:lang w:val="sr-Cyrl-C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Мера израде техничке документације може се састојати из више наведених делова а)-ђ) према важећој законској регулативи.</w:t>
      </w:r>
    </w:p>
    <w:p w14:paraId="037667FA">
      <w:pPr>
        <w:spacing w:after="0" w:line="276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14:paraId="0DEEB8FA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2.2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Latn-CS"/>
        </w:rPr>
        <w:t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 ПАКЕТ МЕРА ЗА КОЈИ СЕ ПРИЈАВЉУЈЕТЕ </w:t>
      </w:r>
    </w:p>
    <w:p w14:paraId="1A3AFB11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Крајњи корисници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sr-Cyrl-RS"/>
        </w:rPr>
        <w:t xml:space="preserve">који станују у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sr-Cyrl-RS"/>
        </w:rPr>
        <w:t>породичним кућама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 xml:space="preserve"> имају право да се пријаве за један од пакета мера из Табеле 3. </w:t>
      </w:r>
    </w:p>
    <w:p w14:paraId="63BE8BC2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Уз једну од мера под тач. 4) или 5) или 6) коју заокружи крајњи корисник има право да заокружи и меру 7).</w:t>
      </w:r>
    </w:p>
    <w:p w14:paraId="20048C19">
      <w:pPr>
        <w:rPr>
          <w:rFonts w:ascii="Times New Roman" w:hAnsi="Times New Roman" w:eastAsia="Times New Roman" w:cs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>Уз једну од мера под тач. 1)-6) или 8) коју заокружи крајњи корисник има право да заокружи и меру 10).</w:t>
      </w:r>
    </w:p>
    <w:p w14:paraId="54D9D43D"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Табела 3.</w:t>
      </w:r>
      <w:r>
        <w:rPr>
          <w:rFonts w:ascii="Times New Roman" w:hAnsi="Times New Roman" w:eastAsia="Times New Roman" w:cs="Times New Roman"/>
          <w:sz w:val="24"/>
          <w:szCs w:val="24"/>
          <w:lang w:val="sr-Cyrl-CS"/>
        </w:rPr>
        <w:t xml:space="preserve"> Списак пакета са припадајућим мерама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 (заокружити редни број пакета и редне бројеве мера које примењујете у оквиру изабраног пакета) –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RS"/>
        </w:rPr>
        <w:t>ПРИЈАВА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sr-Cyrl-CS"/>
        </w:rPr>
        <w:t xml:space="preserve"> САМО ЗА ПОРОДИЧНЕ КУЋЕ</w:t>
      </w:r>
    </w:p>
    <w:tbl>
      <w:tblPr>
        <w:tblStyle w:val="15"/>
        <w:tblW w:w="10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10"/>
        <w:gridCol w:w="9265"/>
      </w:tblGrid>
      <w:tr w14:paraId="0C27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665B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810" w:type="dxa"/>
            <w:vAlign w:val="center"/>
          </w:tcPr>
          <w:p w14:paraId="3DE72CB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14:paraId="4BF57D0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ОСНОВНИ ПАКЕТ МЕРА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(Максимални удео бесповратних средстава до 55%)</w:t>
            </w:r>
          </w:p>
          <w:p w14:paraId="766E9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Обухвата примену најмање две мере из тач. 1), 2) и 3) уз примену мере из тачке 10)   </w:t>
            </w:r>
          </w:p>
        </w:tc>
      </w:tr>
      <w:tr w14:paraId="137E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7FEEB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1E6C8E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14:paraId="03FCC7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14:paraId="3B29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6526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0C96A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14:paraId="0F549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14:paraId="61F3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C271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064F94A7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25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14:paraId="4381B4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14:paraId="3881E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7661B2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1CFC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14:paraId="0ECBB8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14:paraId="2170E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6A557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B5E15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136840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14:paraId="3FDCB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02D51B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4483D1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0FFB89A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14:paraId="6079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255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737299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0E6F576B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14:paraId="3D4FF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2D2C5F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1A5B2C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36D24FE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14:paraId="346CC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EC8C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38178A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7A1FE3A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14:paraId="75F5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4B0EA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0D21BC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6258710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tr w14:paraId="1482A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67E7E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II </w:t>
            </w:r>
          </w:p>
        </w:tc>
        <w:tc>
          <w:tcPr>
            <w:tcW w:w="810" w:type="dxa"/>
            <w:vAlign w:val="center"/>
          </w:tcPr>
          <w:p w14:paraId="34DF83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14:paraId="3F31CAB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СТАНДАРДНИ ПАКЕТ МЕРА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(Максимални удео бесповратних средстава до 60%)</w:t>
            </w:r>
          </w:p>
          <w:p w14:paraId="6F247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 мера Основног пакета</w:t>
            </w:r>
          </w:p>
          <w:p w14:paraId="2914B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4) или 5) или 6)</w:t>
            </w:r>
          </w:p>
          <w:p w14:paraId="47C96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и/или 7) уз примену тачке 10) </w:t>
            </w:r>
          </w:p>
        </w:tc>
      </w:tr>
      <w:tr w14:paraId="78F4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65A9D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2D547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14:paraId="1B61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14:paraId="689D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4BB7E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688738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14:paraId="26A024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за </w:t>
            </w:r>
          </w:p>
        </w:tc>
      </w:tr>
      <w:tr w14:paraId="12EF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433D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22EA14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25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14:paraId="09300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14:paraId="69E0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F973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287686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14:paraId="6619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 </w:t>
            </w:r>
          </w:p>
        </w:tc>
      </w:tr>
      <w:tr w14:paraId="1577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5B6AF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309805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14:paraId="530F8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14:paraId="5F9B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0037FC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7EEF2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14:paraId="379B6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14:paraId="7C043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5BC05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7DF83C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7)*</w:t>
            </w:r>
          </w:p>
        </w:tc>
        <w:tc>
          <w:tcPr>
            <w:tcW w:w="9265" w:type="dxa"/>
          </w:tcPr>
          <w:p w14:paraId="37240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14:paraId="273A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3ACEE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0C3CB2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14:paraId="0F8CC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14:paraId="4D41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B678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DD5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2A10455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14:paraId="3C05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5F845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7320C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4B23EB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14:paraId="3374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7F0B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29835D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2FB0FA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14:paraId="6D76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C1804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06658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514F623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14:paraId="022A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07CFD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4C0976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221B08B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14:paraId="3151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28D7F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016231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2F1AC70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tr w14:paraId="6AE6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8FF8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810" w:type="dxa"/>
            <w:vAlign w:val="center"/>
          </w:tcPr>
          <w:p w14:paraId="3CE53A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14:paraId="0853B46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НАПРЕДНИ ПАКЕТ МЕРА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(Максимални удео бесповратних средстава до 65%)</w:t>
            </w:r>
          </w:p>
          <w:p w14:paraId="53B78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Примена мера Основног и Стандардног пакета </w:t>
            </w:r>
          </w:p>
          <w:p w14:paraId="00F9B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8) и/или 9)</w:t>
            </w:r>
          </w:p>
          <w:p w14:paraId="4107F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 примену тачке 10) уколико је предвиђена важећом законском регулативом</w:t>
            </w:r>
          </w:p>
        </w:tc>
      </w:tr>
      <w:tr w14:paraId="3B082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20AFB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10AFAA92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14:paraId="3E2F637A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14:paraId="30D7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4719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03EA4BEF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14:paraId="4E6FC4A6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14:paraId="01B70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70C70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1DE50D6B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25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14:paraId="7740883A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14:paraId="364D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4468E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07D3A01C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14:paraId="5CB21143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 </w:t>
            </w:r>
          </w:p>
        </w:tc>
      </w:tr>
      <w:tr w14:paraId="3FB9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D0F9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1A9ACD66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14:paraId="3FC6911B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14:paraId="0180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718B3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14:paraId="045795DC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14:paraId="2F1CDE15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14:paraId="1B2E0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09375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53DC826B">
            <w:pPr>
              <w:spacing w:after="0" w:line="240" w:lineRule="auto"/>
              <w:rPr>
                <w:rStyle w:val="25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9265" w:type="dxa"/>
          </w:tcPr>
          <w:p w14:paraId="2C357D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</w:p>
        </w:tc>
      </w:tr>
      <w:tr w14:paraId="7887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4ED39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29E69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8)</w:t>
            </w:r>
          </w:p>
        </w:tc>
        <w:tc>
          <w:tcPr>
            <w:tcW w:w="9265" w:type="dxa"/>
          </w:tcPr>
          <w:p w14:paraId="26BE95D9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</w:p>
        </w:tc>
      </w:tr>
      <w:tr w14:paraId="6AAC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7EAD3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99A84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9)</w:t>
            </w:r>
          </w:p>
        </w:tc>
        <w:tc>
          <w:tcPr>
            <w:tcW w:w="9265" w:type="dxa"/>
          </w:tcPr>
          <w:p w14:paraId="565DE1D0">
            <w:pPr>
              <w:spacing w:after="0" w:line="240" w:lineRule="auto"/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  <w:r>
              <w:rPr>
                <w:rStyle w:val="25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14:paraId="20FF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5E3B3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bookmarkStart w:id="1" w:name="_Hlk169527544"/>
          </w:p>
        </w:tc>
        <w:tc>
          <w:tcPr>
            <w:tcW w:w="810" w:type="dxa"/>
            <w:vAlign w:val="center"/>
          </w:tcPr>
          <w:p w14:paraId="213E7B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14:paraId="750D7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14:paraId="712AC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1EBB72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182D7C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241C6A6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14:paraId="00C2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66C6A2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6D591A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0E662C6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14:paraId="71100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5D3B9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52AE0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79C0B5E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14:paraId="1D25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2963F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7B4D56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60EDC83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14:paraId="3B883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3396F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41F06F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3FEB28C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14:paraId="6326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E7E6E6" w:themeFill="background2"/>
            <w:vAlign w:val="center"/>
          </w:tcPr>
          <w:p w14:paraId="0CEAD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14:paraId="28507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14:paraId="3315B7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bookmarkEnd w:id="1"/>
    </w:tbl>
    <w:p w14:paraId="349331EA">
      <w:pPr>
        <w:spacing w:after="0" w:line="276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14:paraId="1DE4C60D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*За  меру из тачке </w:t>
      </w:r>
      <w:r>
        <w:rPr>
          <w:rFonts w:ascii="Times New Roman" w:hAnsi="Times New Roman" w:eastAsia="Times New Roman" w:cs="Times New Roman"/>
          <w:sz w:val="20"/>
          <w:szCs w:val="20"/>
          <w:lang w:val="sr-Latn-CS"/>
        </w:rPr>
        <w:t>7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) се може конкурисати </w:t>
      </w:r>
      <w:r>
        <w:rPr>
          <w:rFonts w:ascii="Times New Roman" w:hAnsi="Times New Roman" w:eastAsia="Times New Roman" w:cs="Times New Roman"/>
          <w:bCs/>
          <w:sz w:val="20"/>
          <w:szCs w:val="20"/>
          <w:lang w:val="sr-Cyrl-RS"/>
        </w:rPr>
        <w:t>искључиво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заједно са неком од појединачних мера под тачком 4) или 5) или 6) или пакета који садржи наведене мере. Мера ће се суфинансирати са одговарајућим уделом у случају примене основног, стандардног или напредног пакета. </w:t>
      </w:r>
    </w:p>
    <w:p w14:paraId="6C8EA4FB">
      <w:pPr>
        <w:spacing w:after="0" w:line="276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**За </w:t>
      </w:r>
      <w:r>
        <w:rPr>
          <w:rFonts w:ascii="Times New Roman" w:hAnsi="Times New Roman" w:eastAsia="Times New Roman" w:cs="Times New Roman"/>
          <w:sz w:val="20"/>
          <w:szCs w:val="20"/>
        </w:rPr>
        <w:t>меру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из тачке 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>10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)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се може конкурисати само заједно са неком од појединачних мера под тач. 1)-6) или тачком 8) и у оквиру пакета мера</w:t>
      </w:r>
      <w:r>
        <w:rPr>
          <w:rFonts w:ascii="Times New Roman" w:hAnsi="Times New Roman" w:eastAsia="Times New Roman" w:cs="Times New Roman"/>
          <w:sz w:val="20"/>
          <w:szCs w:val="20"/>
          <w:lang w:val="sr-Cyrl-CS"/>
        </w:rPr>
        <w:t xml:space="preserve">.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>Мера ће се суфинансирати са уделом до 80% бесповратних средстава за све пакете.</w:t>
      </w:r>
      <w: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Мера израде техничке документације може се састојати из више наведених делова а)-ђ) према важећој законској регулативи. </w:t>
      </w:r>
    </w:p>
    <w:p w14:paraId="1C8BD64C">
      <w:pPr>
        <w:rPr>
          <w:rFonts w:ascii="Times New Roman" w:hAnsi="Times New Roman" w:eastAsia="Times New Roman" w:cs="Times New Roman"/>
          <w:b/>
          <w:sz w:val="24"/>
          <w:szCs w:val="24"/>
          <w:lang w:val="sr-Cyrl-CS"/>
        </w:rPr>
      </w:pPr>
      <w:bookmarkStart w:id="2" w:name="_Hlk72263790"/>
    </w:p>
    <w:p w14:paraId="3BA8EC9D">
      <w:pPr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3. ТРЕНУТНО СТАЊЕ ВАШЕ ПОРОДИЧНЕ КУЋЕ/СТАНА</w:t>
      </w:r>
    </w:p>
    <w:tbl>
      <w:tblPr>
        <w:tblStyle w:val="15"/>
        <w:tblW w:w="273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  <w:gridCol w:w="2078"/>
      </w:tblGrid>
      <w:tr w14:paraId="21EE4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5" w:type="pct"/>
          </w:tcPr>
          <w:p w14:paraId="5A8A16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породичне куће/стана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квадратним метрима </w:t>
            </w:r>
          </w:p>
        </w:tc>
        <w:tc>
          <w:tcPr>
            <w:tcW w:w="1725" w:type="pct"/>
          </w:tcPr>
          <w:p w14:paraId="7E7CFA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AEF4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8EA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5" w:type="pct"/>
          </w:tcPr>
          <w:p w14:paraId="3CE03BA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корисника који станује у породичн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725" w:type="pct"/>
          </w:tcPr>
          <w:p w14:paraId="015E2C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DCE2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F176AB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CS"/>
        </w:rPr>
      </w:pPr>
    </w:p>
    <w:tbl>
      <w:tblPr>
        <w:tblStyle w:val="20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1" w:type="dxa"/>
          <w:bottom w:w="0" w:type="dxa"/>
          <w:right w:w="115" w:type="dxa"/>
        </w:tblCellMar>
      </w:tblPr>
      <w:tblGrid>
        <w:gridCol w:w="9356"/>
      </w:tblGrid>
      <w:tr w14:paraId="67CF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89" w:hRule="atLeast"/>
        </w:trPr>
        <w:tc>
          <w:tcPr>
            <w:tcW w:w="9356" w:type="dxa"/>
            <w:vAlign w:val="center"/>
          </w:tcPr>
          <w:p w14:paraId="025DE9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>Постојеће стање у погледу термичке изолације породичне куће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 xml:space="preserve"> (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>заокружити редни број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):</w:t>
            </w:r>
          </w:p>
        </w:tc>
      </w:tr>
      <w:tr w14:paraId="4335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38" w:hRule="atLeast"/>
        </w:trPr>
        <w:tc>
          <w:tcPr>
            <w:tcW w:w="9356" w:type="dxa"/>
          </w:tcPr>
          <w:p w14:paraId="14F2D72C"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 xml:space="preserve">Спољни зидови и кров без термичке изолације </w:t>
            </w:r>
          </w:p>
        </w:tc>
      </w:tr>
      <w:tr w14:paraId="6A86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vAlign w:val="bottom"/>
          </w:tcPr>
          <w:p w14:paraId="74D35594"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 xml:space="preserve">Спољни зидови без а кров са термичком изолацијом </w:t>
            </w:r>
          </w:p>
        </w:tc>
      </w:tr>
      <w:tr w14:paraId="142E8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vAlign w:val="bottom"/>
          </w:tcPr>
          <w:p w14:paraId="560EE330"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Спољни зидови са а кров без термичке изолације</w:t>
            </w:r>
          </w:p>
        </w:tc>
      </w:tr>
      <w:tr w14:paraId="33D5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vAlign w:val="bottom"/>
          </w:tcPr>
          <w:p w14:paraId="58E3BCF8"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Спољни зидови и кров са термичком изолацијом</w:t>
            </w:r>
          </w:p>
        </w:tc>
      </w:tr>
    </w:tbl>
    <w:p w14:paraId="0067002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20"/>
        <w:tblW w:w="9356" w:type="dxa"/>
        <w:tblInd w:w="-3" w:type="dxa"/>
        <w:tblLayout w:type="autofit"/>
        <w:tblCellMar>
          <w:top w:w="0" w:type="dxa"/>
          <w:left w:w="101" w:type="dxa"/>
          <w:bottom w:w="0" w:type="dxa"/>
          <w:right w:w="115" w:type="dxa"/>
        </w:tblCellMar>
      </w:tblPr>
      <w:tblGrid>
        <w:gridCol w:w="9356"/>
      </w:tblGrid>
      <w:tr w14:paraId="695CDD09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410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657C3728">
            <w:pPr>
              <w:spacing w:after="0" w:line="259" w:lineRule="auto"/>
              <w:ind w:left="17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 xml:space="preserve">Постојећи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начин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 xml:space="preserve">грејања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>(заокружити редни број)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:</w:t>
            </w:r>
          </w:p>
        </w:tc>
      </w:tr>
      <w:tr w14:paraId="3820015C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2A988481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 xml:space="preserve">Угаљ/ лож уље,/мазут </w:t>
            </w:r>
          </w:p>
        </w:tc>
      </w:tr>
      <w:tr w14:paraId="58949EDB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3EE0FE9D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Електрична енергија</w:t>
            </w:r>
          </w:p>
        </w:tc>
      </w:tr>
      <w:tr w14:paraId="6B70B072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589F1EE2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Дрво</w:t>
            </w:r>
          </w:p>
        </w:tc>
      </w:tr>
      <w:tr w14:paraId="479AA72A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5D2DF847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Природни гас</w:t>
            </w:r>
          </w:p>
        </w:tc>
      </w:tr>
      <w:tr w14:paraId="100096F5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6B289C49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Пелет</w:t>
            </w:r>
          </w:p>
        </w:tc>
      </w:tr>
      <w:tr w14:paraId="460E7531"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5FC5E5D1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Даљинско грејање</w:t>
            </w:r>
          </w:p>
        </w:tc>
      </w:tr>
      <w:tr w14:paraId="52E1E092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4E8593F2"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Друго (уписати)</w:t>
            </w:r>
          </w:p>
          <w:p w14:paraId="1BE2479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</w:p>
        </w:tc>
      </w:tr>
    </w:tbl>
    <w:p w14:paraId="48E76D7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CS"/>
        </w:rPr>
      </w:pPr>
    </w:p>
    <w:tbl>
      <w:tblPr>
        <w:tblStyle w:val="20"/>
        <w:tblW w:w="9356" w:type="dxa"/>
        <w:tblInd w:w="-3" w:type="dxa"/>
        <w:tblLayout w:type="autofit"/>
        <w:tblCellMar>
          <w:top w:w="0" w:type="dxa"/>
          <w:left w:w="101" w:type="dxa"/>
          <w:bottom w:w="0" w:type="dxa"/>
          <w:right w:w="115" w:type="dxa"/>
        </w:tblCellMar>
      </w:tblPr>
      <w:tblGrid>
        <w:gridCol w:w="9356"/>
      </w:tblGrid>
      <w:tr w14:paraId="35A1610E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410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9BBD32D">
            <w:pPr>
              <w:spacing w:after="0" w:line="259" w:lineRule="auto"/>
              <w:ind w:left="17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>Потрошна вода за домаћинство се греје на, само за меру из тачке 8) која се односи на уградњу соларних колектора, (заокружити редни број) :</w:t>
            </w:r>
          </w:p>
        </w:tc>
      </w:tr>
      <w:tr w14:paraId="463B7003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0B152BBC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 xml:space="preserve">Угаљ/ лож уље,/мазут </w:t>
            </w:r>
          </w:p>
        </w:tc>
      </w:tr>
      <w:tr w14:paraId="7EADC7DF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7144FD13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Електрична енергија</w:t>
            </w:r>
          </w:p>
        </w:tc>
      </w:tr>
      <w:tr w14:paraId="18E2BCBB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6BD9AD85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Дрво</w:t>
            </w:r>
          </w:p>
        </w:tc>
      </w:tr>
      <w:tr w14:paraId="3AD2B4EA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4D6F1DB0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Природни гас</w:t>
            </w:r>
          </w:p>
        </w:tc>
      </w:tr>
      <w:tr w14:paraId="23B2E059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407355E4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Пелет</w:t>
            </w:r>
          </w:p>
        </w:tc>
      </w:tr>
      <w:tr w14:paraId="0CE7C0E7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20558BFA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Даљинско грејање</w:t>
            </w:r>
          </w:p>
        </w:tc>
      </w:tr>
      <w:tr w14:paraId="3B8199F5">
        <w:tblPrEx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bottom"/>
          </w:tcPr>
          <w:p w14:paraId="31E0118B"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Друго (уписати)</w:t>
            </w:r>
          </w:p>
          <w:p w14:paraId="7C0DE11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</w:pPr>
          </w:p>
        </w:tc>
      </w:tr>
    </w:tbl>
    <w:p w14:paraId="505B50C7">
      <w:pPr>
        <w:rPr>
          <w:rFonts w:ascii="Times New Roman" w:hAnsi="Times New Roman" w:eastAsia="Times New Roman" w:cs="Times New Roman"/>
          <w:sz w:val="24"/>
          <w:szCs w:val="24"/>
          <w:lang w:val="en-US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3"/>
      </w:tblGrid>
      <w:tr w14:paraId="435E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3" w:type="dxa"/>
          </w:tcPr>
          <w:p w14:paraId="28619A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остојећи прозори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вашој породичној кући/стану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, за примену мере из тачке 1) која се односи на замену столарије (заокружити редни број)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14:paraId="447F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323" w:type="dxa"/>
          </w:tcPr>
          <w:p w14:paraId="012D5E19">
            <w:pPr>
              <w:pStyle w:val="1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Прозор са дрвеним профилом </w:t>
            </w:r>
          </w:p>
        </w:tc>
      </w:tr>
      <w:tr w14:paraId="21F1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9323" w:type="dxa"/>
          </w:tcPr>
          <w:p w14:paraId="70204B31">
            <w:pPr>
              <w:pStyle w:val="1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Прозор са челичним профилом</w:t>
            </w:r>
          </w:p>
        </w:tc>
      </w:tr>
      <w:bookmarkEnd w:id="2"/>
    </w:tbl>
    <w:p w14:paraId="6E4871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2EC04EC">
      <w:pPr>
        <w:spacing w:after="0" w:line="240" w:lineRule="auto"/>
        <w:ind w:left="3600" w:hanging="3600" w:hangingChars="1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Датум:________202</w:t>
      </w:r>
      <w:r>
        <w:rPr>
          <w:rFonts w:ascii="Times New Roman" w:hAnsi="Times New Roman" w:cs="Times New Roman"/>
          <w:sz w:val="24"/>
          <w:szCs w:val="24"/>
          <w:lang w:val="sr-Latn-CS"/>
        </w:rPr>
        <w:t>4</w:t>
      </w:r>
      <w:r>
        <w:rPr>
          <w:rFonts w:ascii="Times New Roman" w:hAnsi="Times New Roman" w:cs="Times New Roman"/>
          <w:sz w:val="24"/>
          <w:szCs w:val="24"/>
        </w:rPr>
        <w:t>.год.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default"/>
          <w:lang w:val="sr-Cyrl-RS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Потпис подносиоца захтева</w:t>
      </w:r>
    </w:p>
    <w:p w14:paraId="2A47CE3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21713ED">
      <w:pPr>
        <w:shd w:val="clear" w:color="auto" w:fill="FFFFFF"/>
        <w:spacing w:after="0" w:line="276" w:lineRule="auto"/>
        <w:ind w:firstLine="6960" w:firstLineChars="290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---------------------------</w:t>
      </w:r>
      <w:r>
        <w:rPr>
          <w:rFonts w:ascii="Times New Roman" w:hAnsi="Times New Roman" w:cs="Times New Roman"/>
          <w:sz w:val="24"/>
          <w:szCs w:val="24"/>
        </w:rPr>
        <w:tab/>
      </w:r>
    </w:p>
    <w:sectPr>
      <w:headerReference r:id="rId5" w:type="default"/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83CCF">
    <w:pPr>
      <w:pStyle w:val="12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215569"/>
    <w:multiLevelType w:val="multilevel"/>
    <w:tmpl w:val="0D21556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95D1C"/>
    <w:multiLevelType w:val="multilevel"/>
    <w:tmpl w:val="22A95D1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5125"/>
    <w:multiLevelType w:val="multilevel"/>
    <w:tmpl w:val="30F1512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A5AB3"/>
    <w:multiLevelType w:val="multilevel"/>
    <w:tmpl w:val="759A5AB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03F7F"/>
    <w:rsid w:val="0001049A"/>
    <w:rsid w:val="000309F7"/>
    <w:rsid w:val="00030EE3"/>
    <w:rsid w:val="00035EFA"/>
    <w:rsid w:val="00041173"/>
    <w:rsid w:val="00041987"/>
    <w:rsid w:val="000458B9"/>
    <w:rsid w:val="00052AB5"/>
    <w:rsid w:val="00054D2F"/>
    <w:rsid w:val="0006100F"/>
    <w:rsid w:val="00062C9F"/>
    <w:rsid w:val="0007423E"/>
    <w:rsid w:val="0008679E"/>
    <w:rsid w:val="00090D4F"/>
    <w:rsid w:val="00092C82"/>
    <w:rsid w:val="000953CD"/>
    <w:rsid w:val="00096283"/>
    <w:rsid w:val="000A570B"/>
    <w:rsid w:val="000A762E"/>
    <w:rsid w:val="000B3E12"/>
    <w:rsid w:val="000B5B83"/>
    <w:rsid w:val="000C7D77"/>
    <w:rsid w:val="000D4ACD"/>
    <w:rsid w:val="000D6077"/>
    <w:rsid w:val="000D62C7"/>
    <w:rsid w:val="000E3BDF"/>
    <w:rsid w:val="000F1414"/>
    <w:rsid w:val="000F34C9"/>
    <w:rsid w:val="00100950"/>
    <w:rsid w:val="00103269"/>
    <w:rsid w:val="00115E5A"/>
    <w:rsid w:val="00121771"/>
    <w:rsid w:val="00122FD9"/>
    <w:rsid w:val="001232D4"/>
    <w:rsid w:val="00125AA3"/>
    <w:rsid w:val="001364D9"/>
    <w:rsid w:val="0014373C"/>
    <w:rsid w:val="001444DB"/>
    <w:rsid w:val="00145D69"/>
    <w:rsid w:val="0015574A"/>
    <w:rsid w:val="00157B30"/>
    <w:rsid w:val="001618A6"/>
    <w:rsid w:val="00165F07"/>
    <w:rsid w:val="00174995"/>
    <w:rsid w:val="00185A11"/>
    <w:rsid w:val="00186AF8"/>
    <w:rsid w:val="001A5860"/>
    <w:rsid w:val="001C42A9"/>
    <w:rsid w:val="001D54C8"/>
    <w:rsid w:val="001D5DAB"/>
    <w:rsid w:val="001E01C0"/>
    <w:rsid w:val="001F600E"/>
    <w:rsid w:val="0020470D"/>
    <w:rsid w:val="00205DB4"/>
    <w:rsid w:val="0021336A"/>
    <w:rsid w:val="00213A2F"/>
    <w:rsid w:val="00215AAC"/>
    <w:rsid w:val="00224C4F"/>
    <w:rsid w:val="00266B51"/>
    <w:rsid w:val="00282D6D"/>
    <w:rsid w:val="0029310E"/>
    <w:rsid w:val="002B31BC"/>
    <w:rsid w:val="002B5978"/>
    <w:rsid w:val="002C788C"/>
    <w:rsid w:val="002D1A13"/>
    <w:rsid w:val="002D234C"/>
    <w:rsid w:val="002D37E0"/>
    <w:rsid w:val="002F7814"/>
    <w:rsid w:val="003239CB"/>
    <w:rsid w:val="00370499"/>
    <w:rsid w:val="003967AD"/>
    <w:rsid w:val="003A361B"/>
    <w:rsid w:val="003A3B83"/>
    <w:rsid w:val="003C33B6"/>
    <w:rsid w:val="003D49C5"/>
    <w:rsid w:val="003D4A3E"/>
    <w:rsid w:val="003D67B7"/>
    <w:rsid w:val="003E04AB"/>
    <w:rsid w:val="003E5425"/>
    <w:rsid w:val="003E735E"/>
    <w:rsid w:val="00406587"/>
    <w:rsid w:val="00410446"/>
    <w:rsid w:val="004135DF"/>
    <w:rsid w:val="00414D8E"/>
    <w:rsid w:val="00425CAA"/>
    <w:rsid w:val="00436EAA"/>
    <w:rsid w:val="00437723"/>
    <w:rsid w:val="00450D42"/>
    <w:rsid w:val="00451A10"/>
    <w:rsid w:val="00451C23"/>
    <w:rsid w:val="004643B5"/>
    <w:rsid w:val="00486144"/>
    <w:rsid w:val="00496203"/>
    <w:rsid w:val="004A3D13"/>
    <w:rsid w:val="004A60B6"/>
    <w:rsid w:val="004C602B"/>
    <w:rsid w:val="004D2C2E"/>
    <w:rsid w:val="004D6560"/>
    <w:rsid w:val="004D7ACC"/>
    <w:rsid w:val="004E14BD"/>
    <w:rsid w:val="004E3338"/>
    <w:rsid w:val="004F2A9E"/>
    <w:rsid w:val="004F36FD"/>
    <w:rsid w:val="004F4F22"/>
    <w:rsid w:val="00501A63"/>
    <w:rsid w:val="00502488"/>
    <w:rsid w:val="00503952"/>
    <w:rsid w:val="005220B1"/>
    <w:rsid w:val="0052721F"/>
    <w:rsid w:val="00536FD8"/>
    <w:rsid w:val="005524E5"/>
    <w:rsid w:val="00552A02"/>
    <w:rsid w:val="00556FCB"/>
    <w:rsid w:val="00571359"/>
    <w:rsid w:val="0058199F"/>
    <w:rsid w:val="005A1623"/>
    <w:rsid w:val="005A2199"/>
    <w:rsid w:val="005C12AC"/>
    <w:rsid w:val="005C600A"/>
    <w:rsid w:val="005C7FA7"/>
    <w:rsid w:val="005E2557"/>
    <w:rsid w:val="005E6AE5"/>
    <w:rsid w:val="005E6D56"/>
    <w:rsid w:val="005F2BA3"/>
    <w:rsid w:val="00611DB8"/>
    <w:rsid w:val="00612AAC"/>
    <w:rsid w:val="0062156B"/>
    <w:rsid w:val="006216FF"/>
    <w:rsid w:val="00625354"/>
    <w:rsid w:val="00627FA9"/>
    <w:rsid w:val="0063538F"/>
    <w:rsid w:val="00636B92"/>
    <w:rsid w:val="006463E6"/>
    <w:rsid w:val="00650A2A"/>
    <w:rsid w:val="0065562C"/>
    <w:rsid w:val="00660350"/>
    <w:rsid w:val="0066540E"/>
    <w:rsid w:val="00670599"/>
    <w:rsid w:val="00675765"/>
    <w:rsid w:val="00682E9E"/>
    <w:rsid w:val="0068706D"/>
    <w:rsid w:val="00696A29"/>
    <w:rsid w:val="006A0595"/>
    <w:rsid w:val="006A5FCC"/>
    <w:rsid w:val="006C252A"/>
    <w:rsid w:val="006C5E11"/>
    <w:rsid w:val="006D5879"/>
    <w:rsid w:val="006E0396"/>
    <w:rsid w:val="006E46BB"/>
    <w:rsid w:val="006F1F74"/>
    <w:rsid w:val="006F626E"/>
    <w:rsid w:val="007014C4"/>
    <w:rsid w:val="0072339D"/>
    <w:rsid w:val="00725255"/>
    <w:rsid w:val="007354A5"/>
    <w:rsid w:val="0073744E"/>
    <w:rsid w:val="00752669"/>
    <w:rsid w:val="00752BCA"/>
    <w:rsid w:val="00756C04"/>
    <w:rsid w:val="00770A36"/>
    <w:rsid w:val="00771A21"/>
    <w:rsid w:val="00775046"/>
    <w:rsid w:val="00777091"/>
    <w:rsid w:val="00784F8D"/>
    <w:rsid w:val="00791D3F"/>
    <w:rsid w:val="007B40A4"/>
    <w:rsid w:val="007E7712"/>
    <w:rsid w:val="007F5D8F"/>
    <w:rsid w:val="00810731"/>
    <w:rsid w:val="00811065"/>
    <w:rsid w:val="00814F24"/>
    <w:rsid w:val="00845A80"/>
    <w:rsid w:val="00845C96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8F3544"/>
    <w:rsid w:val="008F6ABD"/>
    <w:rsid w:val="00902AE4"/>
    <w:rsid w:val="009038F2"/>
    <w:rsid w:val="00913FD2"/>
    <w:rsid w:val="00916EC9"/>
    <w:rsid w:val="009242B9"/>
    <w:rsid w:val="009453DF"/>
    <w:rsid w:val="009471F0"/>
    <w:rsid w:val="0095725F"/>
    <w:rsid w:val="0097541E"/>
    <w:rsid w:val="0097747A"/>
    <w:rsid w:val="00983E78"/>
    <w:rsid w:val="00992F97"/>
    <w:rsid w:val="00996108"/>
    <w:rsid w:val="009B4BCA"/>
    <w:rsid w:val="009B7494"/>
    <w:rsid w:val="009E1035"/>
    <w:rsid w:val="009E2DD9"/>
    <w:rsid w:val="009F3C49"/>
    <w:rsid w:val="00A00A87"/>
    <w:rsid w:val="00A0238E"/>
    <w:rsid w:val="00A0389E"/>
    <w:rsid w:val="00A164EC"/>
    <w:rsid w:val="00A275CA"/>
    <w:rsid w:val="00A51C28"/>
    <w:rsid w:val="00A55C46"/>
    <w:rsid w:val="00A654CB"/>
    <w:rsid w:val="00A70556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01010"/>
    <w:rsid w:val="00B04B51"/>
    <w:rsid w:val="00B104CB"/>
    <w:rsid w:val="00B159AD"/>
    <w:rsid w:val="00B22420"/>
    <w:rsid w:val="00B335B4"/>
    <w:rsid w:val="00B33E0C"/>
    <w:rsid w:val="00B43512"/>
    <w:rsid w:val="00B6461F"/>
    <w:rsid w:val="00B66347"/>
    <w:rsid w:val="00B71B17"/>
    <w:rsid w:val="00B730FB"/>
    <w:rsid w:val="00B74A26"/>
    <w:rsid w:val="00B8177E"/>
    <w:rsid w:val="00B84152"/>
    <w:rsid w:val="00B84EE2"/>
    <w:rsid w:val="00B9030F"/>
    <w:rsid w:val="00B90B12"/>
    <w:rsid w:val="00BA1DE0"/>
    <w:rsid w:val="00BA768C"/>
    <w:rsid w:val="00BC3C11"/>
    <w:rsid w:val="00BC770A"/>
    <w:rsid w:val="00BD7CE2"/>
    <w:rsid w:val="00BE3026"/>
    <w:rsid w:val="00BF2099"/>
    <w:rsid w:val="00C02441"/>
    <w:rsid w:val="00C041E1"/>
    <w:rsid w:val="00C0509B"/>
    <w:rsid w:val="00C26C3F"/>
    <w:rsid w:val="00C462E1"/>
    <w:rsid w:val="00C46AE0"/>
    <w:rsid w:val="00C50153"/>
    <w:rsid w:val="00C51A4F"/>
    <w:rsid w:val="00C574EF"/>
    <w:rsid w:val="00C72B2E"/>
    <w:rsid w:val="00C86291"/>
    <w:rsid w:val="00CA16AA"/>
    <w:rsid w:val="00CB0FBC"/>
    <w:rsid w:val="00CB2FAD"/>
    <w:rsid w:val="00CB325F"/>
    <w:rsid w:val="00CB7E8C"/>
    <w:rsid w:val="00CC78DF"/>
    <w:rsid w:val="00CF0785"/>
    <w:rsid w:val="00D060F3"/>
    <w:rsid w:val="00D13CF6"/>
    <w:rsid w:val="00D17F10"/>
    <w:rsid w:val="00D24529"/>
    <w:rsid w:val="00D24B27"/>
    <w:rsid w:val="00D463C1"/>
    <w:rsid w:val="00D541CB"/>
    <w:rsid w:val="00D54D97"/>
    <w:rsid w:val="00D55D2F"/>
    <w:rsid w:val="00D745B6"/>
    <w:rsid w:val="00D778AB"/>
    <w:rsid w:val="00D84402"/>
    <w:rsid w:val="00D853EF"/>
    <w:rsid w:val="00D939C9"/>
    <w:rsid w:val="00D94E38"/>
    <w:rsid w:val="00DA40E3"/>
    <w:rsid w:val="00DA53D4"/>
    <w:rsid w:val="00DA7892"/>
    <w:rsid w:val="00DB6182"/>
    <w:rsid w:val="00DB67CD"/>
    <w:rsid w:val="00DD5660"/>
    <w:rsid w:val="00DE4C76"/>
    <w:rsid w:val="00DF060B"/>
    <w:rsid w:val="00DF24FD"/>
    <w:rsid w:val="00DF753A"/>
    <w:rsid w:val="00E125BD"/>
    <w:rsid w:val="00E2074C"/>
    <w:rsid w:val="00E260B3"/>
    <w:rsid w:val="00E3226C"/>
    <w:rsid w:val="00E51326"/>
    <w:rsid w:val="00E54E75"/>
    <w:rsid w:val="00E602FC"/>
    <w:rsid w:val="00E63938"/>
    <w:rsid w:val="00E77614"/>
    <w:rsid w:val="00E824A4"/>
    <w:rsid w:val="00E85733"/>
    <w:rsid w:val="00E87692"/>
    <w:rsid w:val="00E919C1"/>
    <w:rsid w:val="00E93681"/>
    <w:rsid w:val="00EA5A2C"/>
    <w:rsid w:val="00EC747B"/>
    <w:rsid w:val="00ED03A4"/>
    <w:rsid w:val="00EE2ACD"/>
    <w:rsid w:val="00EE44F0"/>
    <w:rsid w:val="00EF59A7"/>
    <w:rsid w:val="00F14531"/>
    <w:rsid w:val="00F22C3C"/>
    <w:rsid w:val="00F43B94"/>
    <w:rsid w:val="00F46C23"/>
    <w:rsid w:val="00F50B1A"/>
    <w:rsid w:val="00F7002D"/>
    <w:rsid w:val="00F775AD"/>
    <w:rsid w:val="00F82A4D"/>
    <w:rsid w:val="00F927AD"/>
    <w:rsid w:val="00F971CF"/>
    <w:rsid w:val="00FA01F1"/>
    <w:rsid w:val="00FA0DD0"/>
    <w:rsid w:val="00FA63A6"/>
    <w:rsid w:val="00FD4266"/>
    <w:rsid w:val="00FE23DF"/>
    <w:rsid w:val="00FE2666"/>
    <w:rsid w:val="00FE5787"/>
    <w:rsid w:val="00FF7E73"/>
    <w:rsid w:val="01BF02AF"/>
    <w:rsid w:val="030DBDB9"/>
    <w:rsid w:val="0386A755"/>
    <w:rsid w:val="05D5ADFB"/>
    <w:rsid w:val="0A3F0064"/>
    <w:rsid w:val="0CC9C0FA"/>
    <w:rsid w:val="0CF3EE3C"/>
    <w:rsid w:val="0D4AD42B"/>
    <w:rsid w:val="0DC84258"/>
    <w:rsid w:val="12830216"/>
    <w:rsid w:val="1811ECC9"/>
    <w:rsid w:val="1848E618"/>
    <w:rsid w:val="1BB81CFD"/>
    <w:rsid w:val="2151C2F9"/>
    <w:rsid w:val="23C8C462"/>
    <w:rsid w:val="24B4ED0D"/>
    <w:rsid w:val="24BB2B4D"/>
    <w:rsid w:val="26191FBA"/>
    <w:rsid w:val="34F6954E"/>
    <w:rsid w:val="36ED7C73"/>
    <w:rsid w:val="41B3304A"/>
    <w:rsid w:val="4686235C"/>
    <w:rsid w:val="4B6A482A"/>
    <w:rsid w:val="4DE8B5F4"/>
    <w:rsid w:val="4E6F551D"/>
    <w:rsid w:val="4FA57769"/>
    <w:rsid w:val="513119C2"/>
    <w:rsid w:val="515037E7"/>
    <w:rsid w:val="55392C5F"/>
    <w:rsid w:val="5844E3D6"/>
    <w:rsid w:val="63A9797B"/>
    <w:rsid w:val="658B0D7B"/>
    <w:rsid w:val="67DC3EAD"/>
    <w:rsid w:val="68D9086B"/>
    <w:rsid w:val="6CF204F3"/>
    <w:rsid w:val="720170B4"/>
    <w:rsid w:val="76A9203F"/>
    <w:rsid w:val="76BD7AD7"/>
    <w:rsid w:val="790AA855"/>
    <w:rsid w:val="7F3D72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6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17"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8">
    <w:name w:val="annotation subject"/>
    <w:basedOn w:val="7"/>
    <w:next w:val="7"/>
    <w:link w:val="19"/>
    <w:semiHidden/>
    <w:unhideWhenUsed/>
    <w:qFormat/>
    <w:uiPriority w:val="99"/>
    <w:pPr>
      <w:spacing w:after="160"/>
    </w:pPr>
    <w:rPr>
      <w:rFonts w:asciiTheme="minorHAnsi" w:hAnsiTheme="minorHAnsi" w:eastAsiaTheme="minorHAnsi" w:cstheme="minorBidi"/>
      <w:b/>
      <w:bCs/>
      <w:lang w:val="en-GB"/>
    </w:rPr>
  </w:style>
  <w:style w:type="paragraph" w:styleId="9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0">
    <w:name w:val="footnote reference"/>
    <w:basedOn w:val="2"/>
    <w:semiHidden/>
    <w:unhideWhenUsed/>
    <w:qFormat/>
    <w:uiPriority w:val="0"/>
    <w:rPr>
      <w:vertAlign w:val="superscript"/>
    </w:rPr>
  </w:style>
  <w:style w:type="paragraph" w:styleId="11">
    <w:name w:val="footnote text"/>
    <w:basedOn w:val="1"/>
    <w:link w:val="21"/>
    <w:unhideWhenUsed/>
    <w:qFormat/>
    <w:uiPriority w:val="0"/>
    <w:pPr>
      <w:spacing w:after="0" w:line="240" w:lineRule="auto"/>
    </w:pPr>
    <w:rPr>
      <w:sz w:val="20"/>
      <w:szCs w:val="20"/>
    </w:rPr>
  </w:style>
  <w:style w:type="paragraph" w:styleId="12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3">
    <w:name w:val="Hyperlink"/>
    <w:basedOn w:val="2"/>
    <w:unhideWhenUsed/>
    <w:qFormat/>
    <w:uiPriority w:val="99"/>
    <w:rPr>
      <w:color w:val="0000FF"/>
      <w:u w:val="single"/>
    </w:rPr>
  </w:style>
  <w:style w:type="character" w:styleId="14">
    <w:name w:val="Strong"/>
    <w:basedOn w:val="2"/>
    <w:qFormat/>
    <w:uiPriority w:val="22"/>
    <w:rPr>
      <w:b/>
      <w:bCs/>
    </w:rPr>
  </w:style>
  <w:style w:type="table" w:styleId="1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Comment Text Char"/>
    <w:basedOn w:val="2"/>
    <w:link w:val="7"/>
    <w:qFormat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8">
    <w:name w:val="Unresolved Mention1"/>
    <w:basedOn w:val="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Comment Subject Char"/>
    <w:basedOn w:val="17"/>
    <w:link w:val="8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table" w:customStyle="1" w:styleId="20">
    <w:name w:val="TableGrid"/>
    <w:qFormat/>
    <w:uiPriority w:val="0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Footnote Text Char"/>
    <w:basedOn w:val="2"/>
    <w:link w:val="11"/>
    <w:qFormat/>
    <w:uiPriority w:val="0"/>
    <w:rPr>
      <w:sz w:val="20"/>
      <w:szCs w:val="20"/>
      <w:lang w:val="en-GB"/>
    </w:rPr>
  </w:style>
  <w:style w:type="character" w:customStyle="1" w:styleId="22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23">
    <w:name w:val="Header Char"/>
    <w:basedOn w:val="2"/>
    <w:link w:val="12"/>
    <w:qFormat/>
    <w:uiPriority w:val="99"/>
    <w:rPr>
      <w:lang w:val="en-GB"/>
    </w:rPr>
  </w:style>
  <w:style w:type="character" w:customStyle="1" w:styleId="24">
    <w:name w:val="Footer Char"/>
    <w:basedOn w:val="2"/>
    <w:link w:val="9"/>
    <w:qFormat/>
    <w:uiPriority w:val="99"/>
    <w:rPr>
      <w:lang w:val="en-GB"/>
    </w:rPr>
  </w:style>
  <w:style w:type="character" w:customStyle="1" w:styleId="25">
    <w:name w:val="markedcontent"/>
    <w:basedOn w:val="2"/>
    <w:qFormat/>
    <w:uiPriority w:val="0"/>
  </w:style>
  <w:style w:type="paragraph" w:customStyle="1" w:styleId="26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21ABD-FFB3-422E-9A6D-DC5F3061F9E8}">
  <ds:schemaRefs/>
</ds:datastoreItem>
</file>

<file path=customXml/itemProps2.xml><?xml version="1.0" encoding="utf-8"?>
<ds:datastoreItem xmlns:ds="http://schemas.openxmlformats.org/officeDocument/2006/customXml" ds:itemID="{5DB70399-CF56-45AD-AE7C-EF1454C57541}">
  <ds:schemaRefs/>
</ds:datastoreItem>
</file>

<file path=customXml/itemProps3.xml><?xml version="1.0" encoding="utf-8"?>
<ds:datastoreItem xmlns:ds="http://schemas.openxmlformats.org/officeDocument/2006/customXml" ds:itemID="{CE15C5E1-06DF-4C06-A7BB-9CB0CF930A37}">
  <ds:schemaRefs/>
</ds:datastoreItem>
</file>

<file path=customXml/itemProps4.xml><?xml version="1.0" encoding="utf-8"?>
<ds:datastoreItem xmlns:ds="http://schemas.openxmlformats.org/officeDocument/2006/customXml" ds:itemID="{77BF75FA-94E7-4BEB-8691-B4B0E303DB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1863</Words>
  <Characters>10623</Characters>
  <Lines>88</Lines>
  <Paragraphs>24</Paragraphs>
  <TotalTime>17</TotalTime>
  <ScaleCrop>false</ScaleCrop>
  <LinksUpToDate>false</LinksUpToDate>
  <CharactersWithSpaces>12462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2024-06-17T12:24:00Z</dcterms:created>
  <dc:creator>HP EliteBook 840 G3</dc:creator>
  <cp:lastModifiedBy>Milana Medić</cp:lastModifiedBy>
  <cp:lastPrinted>2024-09-23T05:20:00Z</cp:lastPrinted>
  <dcterms:modified xsi:type="dcterms:W3CDTF">2024-09-24T12:56:50Z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  <property fmtid="{D5CDD505-2E9C-101B-9397-08002B2CF9AE}" pid="4" name="GrammarlyDocumentId">
    <vt:lpwstr>40d96d5cadb9757e19a1f8bf26cfc8f3104cde0fc5cd04cf3113b094462b5482</vt:lpwstr>
  </property>
  <property fmtid="{D5CDD505-2E9C-101B-9397-08002B2CF9AE}" pid="5" name="KSOProductBuildVer">
    <vt:lpwstr>1033-12.2.0.18283</vt:lpwstr>
  </property>
  <property fmtid="{D5CDD505-2E9C-101B-9397-08002B2CF9AE}" pid="6" name="ICV">
    <vt:lpwstr>35875690D7174BA9A033F107B38288D7_13</vt:lpwstr>
  </property>
</Properties>
</file>